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7E" w:rsidRDefault="00467586" w:rsidP="00EC027E">
      <w:pPr>
        <w:spacing w:after="0" w:line="240" w:lineRule="auto"/>
        <w:jc w:val="center"/>
        <w:rPr>
          <w:b/>
          <w:sz w:val="24"/>
        </w:rPr>
      </w:pPr>
      <w:bookmarkStart w:id="0" w:name="Product_Description"/>
      <w:r>
        <w:rPr>
          <w:b/>
          <w:sz w:val="28"/>
        </w:rPr>
        <w:t>Product Description</w:t>
      </w:r>
    </w:p>
    <w:bookmarkEnd w:id="0"/>
    <w:p w:rsidR="00EC027E" w:rsidRDefault="00EC027E" w:rsidP="00EC027E">
      <w:pPr>
        <w:spacing w:after="0" w:line="240" w:lineRule="auto"/>
        <w:rPr>
          <w:b/>
          <w:sz w:val="24"/>
        </w:rPr>
      </w:pPr>
    </w:p>
    <w:p w:rsidR="00467586" w:rsidRPr="00467586" w:rsidRDefault="0014220D" w:rsidP="00467586">
      <w:pPr>
        <w:spacing w:after="0"/>
        <w:rPr>
          <w:rFonts w:cstheme="minorHAnsi"/>
        </w:rPr>
      </w:pPr>
      <w:r w:rsidRPr="00BA46A1">
        <w:t>Els</w:t>
      </w:r>
      <w:r w:rsidRPr="00BA46A1">
        <w:t>ev</w:t>
      </w:r>
      <w:r w:rsidRPr="00BA46A1">
        <w:t>i</w:t>
      </w:r>
      <w:r w:rsidRPr="00BA46A1">
        <w:t>er</w:t>
      </w:r>
      <w:r>
        <w:t xml:space="preserve"> and ANPD are building a </w:t>
      </w:r>
      <w:r w:rsidR="00216D80">
        <w:t>unique</w:t>
      </w:r>
      <w:r>
        <w:t>, interactive</w:t>
      </w:r>
      <w:r w:rsidR="00216D80">
        <w:t xml:space="preserve"> orientation solution for </w:t>
      </w:r>
      <w:r w:rsidR="00733DC4">
        <w:t>newly-licensed nurses</w:t>
      </w:r>
      <w:r w:rsidR="00216D80">
        <w:t xml:space="preserve"> who enter the medical-surgical specialty. </w:t>
      </w:r>
      <w:r w:rsidR="00467586" w:rsidRPr="00467586">
        <w:rPr>
          <w:rFonts w:cstheme="minorHAnsi"/>
        </w:rPr>
        <w:t>The course will consist of 26 interactive, online lessons that help build clinical judgment an</w:t>
      </w:r>
      <w:bookmarkStart w:id="1" w:name="_GoBack"/>
      <w:r w:rsidR="00467586" w:rsidRPr="00467586">
        <w:rPr>
          <w:rFonts w:cstheme="minorHAnsi"/>
        </w:rPr>
        <w:t>d</w:t>
      </w:r>
      <w:bookmarkEnd w:id="1"/>
      <w:r w:rsidR="00467586" w:rsidRPr="00467586">
        <w:rPr>
          <w:rFonts w:cstheme="minorHAnsi"/>
        </w:rPr>
        <w:t xml:space="preserve"> critical thinking skills. Core elements of the course include: </w:t>
      </w:r>
    </w:p>
    <w:p w:rsidR="00467586" w:rsidRPr="00467586" w:rsidRDefault="00467586" w:rsidP="00467586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467586">
        <w:rPr>
          <w:rFonts w:cstheme="minorHAnsi"/>
          <w:i/>
        </w:rPr>
        <w:t>Professional practice lessons</w:t>
      </w:r>
      <w:r w:rsidRPr="00467586">
        <w:rPr>
          <w:rFonts w:cstheme="minorHAnsi"/>
        </w:rPr>
        <w:t xml:space="preserve">, which include topics, such as ethical dilemmas and interprofessional collaboration, contain interactive role-play scenarios designed to drive application of knowledge and critical-thinking skills. </w:t>
      </w:r>
    </w:p>
    <w:p w:rsidR="00467586" w:rsidRPr="00467586" w:rsidRDefault="00467586" w:rsidP="00467586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467586">
        <w:rPr>
          <w:rFonts w:cstheme="minorHAnsi"/>
          <w:i/>
        </w:rPr>
        <w:t xml:space="preserve">Clinical lessons </w:t>
      </w:r>
      <w:r w:rsidRPr="00467586">
        <w:rPr>
          <w:rFonts w:cstheme="minorHAnsi"/>
        </w:rPr>
        <w:t>include</w:t>
      </w:r>
      <w:r w:rsidRPr="00467586">
        <w:rPr>
          <w:rFonts w:cstheme="minorHAnsi"/>
          <w:i/>
        </w:rPr>
        <w:t xml:space="preserve"> </w:t>
      </w:r>
      <w:r w:rsidRPr="00467586">
        <w:rPr>
          <w:rFonts w:cstheme="minorHAnsi"/>
        </w:rPr>
        <w:t>such topics as heart failure and early recognition of shock and cover signs and symptoms of deterioration, complications, and relevant comorbid conditions to help improve patient care outcomes.</w:t>
      </w:r>
    </w:p>
    <w:p w:rsidR="00467586" w:rsidRPr="00467586" w:rsidRDefault="00467586" w:rsidP="00467586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467586">
        <w:rPr>
          <w:rFonts w:cstheme="minorHAnsi"/>
          <w:i/>
        </w:rPr>
        <w:t>Branching case study-based posttests</w:t>
      </w:r>
      <w:r w:rsidRPr="00467586">
        <w:rPr>
          <w:rFonts w:cstheme="minorHAnsi"/>
        </w:rPr>
        <w:t xml:space="preserve"> after each clinical lesson includes detailed rationales and consequences or appropriate follow up for incorrect answer choices. </w:t>
      </w:r>
    </w:p>
    <w:p w:rsidR="00467586" w:rsidRDefault="00467586" w:rsidP="00467586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467586">
        <w:rPr>
          <w:rFonts w:cstheme="minorHAnsi"/>
          <w:i/>
        </w:rPr>
        <w:t>Comprehensive, case study-based final examination</w:t>
      </w:r>
      <w:r w:rsidRPr="00467586">
        <w:rPr>
          <w:rFonts w:cstheme="minorHAnsi"/>
        </w:rPr>
        <w:t xml:space="preserve"> presents five patients with different principal diagnoses. The final examination helps new nurses improve decision-making when caring for multiple patients. </w:t>
      </w:r>
    </w:p>
    <w:p w:rsidR="00467586" w:rsidRPr="00467586" w:rsidRDefault="00467586" w:rsidP="0046758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67586">
        <w:rPr>
          <w:rFonts w:cstheme="minorHAnsi"/>
          <w:i/>
        </w:rPr>
        <w:t xml:space="preserve">Library of foundational concepts, </w:t>
      </w:r>
      <w:r w:rsidRPr="00467586">
        <w:rPr>
          <w:rFonts w:cstheme="minorHAnsi"/>
        </w:rPr>
        <w:t xml:space="preserve">which allows nurses to refresh on concepts </w:t>
      </w:r>
      <w:r>
        <w:rPr>
          <w:rFonts w:cstheme="minorHAnsi"/>
        </w:rPr>
        <w:t>as needed.</w:t>
      </w:r>
      <w:r w:rsidRPr="00467586">
        <w:rPr>
          <w:rFonts w:cstheme="minorHAnsi"/>
        </w:rPr>
        <w:t xml:space="preserve">  </w:t>
      </w:r>
    </w:p>
    <w:p w:rsidR="00EC027E" w:rsidRDefault="00EC027E" w:rsidP="00EC027E">
      <w:pPr>
        <w:spacing w:after="0" w:line="240" w:lineRule="auto"/>
        <w:rPr>
          <w:rFonts w:cstheme="minorHAnsi"/>
          <w:i/>
        </w:rPr>
      </w:pPr>
    </w:p>
    <w:p w:rsidR="00467586" w:rsidRPr="00467586" w:rsidRDefault="00467586" w:rsidP="00467586">
      <w:pPr>
        <w:spacing w:after="0"/>
        <w:rPr>
          <w:rFonts w:cstheme="minorHAnsi"/>
        </w:rPr>
      </w:pPr>
      <w:r w:rsidRPr="00467586">
        <w:rPr>
          <w:rFonts w:cstheme="minorHAnsi"/>
        </w:rPr>
        <w:t>To help foster a cohesive experience, Elsevier has also created resources for preceptors and professional development specialists</w:t>
      </w:r>
      <w:r w:rsidR="0014220D">
        <w:rPr>
          <w:rFonts w:cstheme="minorHAnsi"/>
        </w:rPr>
        <w:t xml:space="preserve"> </w:t>
      </w:r>
      <w:r w:rsidRPr="00467586">
        <w:rPr>
          <w:rFonts w:cstheme="minorHAnsi"/>
        </w:rPr>
        <w:t xml:space="preserve">including: </w:t>
      </w:r>
    </w:p>
    <w:p w:rsidR="0014220D" w:rsidRDefault="0014220D" w:rsidP="00467586">
      <w:pPr>
        <w:spacing w:after="0"/>
        <w:rPr>
          <w:rFonts w:cstheme="minorHAnsi"/>
          <w:b/>
          <w:bCs/>
        </w:rPr>
      </w:pPr>
    </w:p>
    <w:p w:rsidR="00467586" w:rsidRPr="00467586" w:rsidRDefault="00467586" w:rsidP="00467586">
      <w:pPr>
        <w:spacing w:after="0"/>
        <w:rPr>
          <w:rFonts w:cstheme="minorHAnsi"/>
        </w:rPr>
      </w:pPr>
      <w:r w:rsidRPr="0014220D">
        <w:rPr>
          <w:rFonts w:cstheme="minorHAnsi"/>
          <w:b/>
          <w:bCs/>
        </w:rPr>
        <w:t>Preceptors:</w:t>
      </w:r>
    </w:p>
    <w:p w:rsidR="00467586" w:rsidRPr="00467586" w:rsidRDefault="00467586" w:rsidP="00467586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467586">
        <w:rPr>
          <w:rFonts w:cstheme="minorHAnsi"/>
          <w:i/>
        </w:rPr>
        <w:t>Lesson-specific discussion guides</w:t>
      </w:r>
      <w:r w:rsidRPr="00467586">
        <w:rPr>
          <w:rFonts w:cstheme="minorHAnsi"/>
        </w:rPr>
        <w:t xml:space="preserve"> present suggested activities that can be used to educate new nurses about unit-based initiatives</w:t>
      </w:r>
    </w:p>
    <w:p w:rsidR="00467586" w:rsidRPr="0014220D" w:rsidRDefault="00467586" w:rsidP="00467586">
      <w:pPr>
        <w:spacing w:after="0" w:line="240" w:lineRule="auto"/>
        <w:rPr>
          <w:rFonts w:cstheme="minorHAnsi"/>
          <w:b/>
          <w:bCs/>
        </w:rPr>
      </w:pPr>
      <w:r w:rsidRPr="0014220D">
        <w:rPr>
          <w:rFonts w:cstheme="minorHAnsi"/>
          <w:b/>
          <w:bCs/>
        </w:rPr>
        <w:t xml:space="preserve">Professional Development Specialists: </w:t>
      </w:r>
    </w:p>
    <w:p w:rsidR="00467586" w:rsidRPr="00467586" w:rsidRDefault="00467586" w:rsidP="00467586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</w:rPr>
      </w:pPr>
      <w:r w:rsidRPr="00467586">
        <w:rPr>
          <w:rFonts w:cstheme="minorHAnsi"/>
          <w:i/>
        </w:rPr>
        <w:t xml:space="preserve">Course notebook, </w:t>
      </w:r>
      <w:r w:rsidRPr="00467586">
        <w:rPr>
          <w:rFonts w:cstheme="minorHAnsi"/>
        </w:rPr>
        <w:t>which contains abstracts and learning outcomes for each lesson.</w:t>
      </w:r>
    </w:p>
    <w:p w:rsidR="00467586" w:rsidRPr="00467586" w:rsidRDefault="00467586" w:rsidP="00467586">
      <w:pPr>
        <w:pStyle w:val="ListParagraph"/>
        <w:numPr>
          <w:ilvl w:val="0"/>
          <w:numId w:val="10"/>
        </w:numPr>
        <w:rPr>
          <w:rFonts w:cstheme="minorHAnsi"/>
          <w:i/>
        </w:rPr>
      </w:pPr>
      <w:r w:rsidRPr="00467586">
        <w:rPr>
          <w:rFonts w:cstheme="minorHAnsi"/>
          <w:i/>
        </w:rPr>
        <w:t xml:space="preserve">Online instructional lesson </w:t>
      </w:r>
      <w:r w:rsidRPr="00467586">
        <w:rPr>
          <w:rFonts w:cstheme="minorHAnsi"/>
        </w:rPr>
        <w:t>that</w:t>
      </w:r>
      <w:r w:rsidRPr="00467586">
        <w:rPr>
          <w:rFonts w:cstheme="minorHAnsi"/>
          <w:i/>
        </w:rPr>
        <w:t xml:space="preserve"> </w:t>
      </w:r>
      <w:r w:rsidRPr="00467586">
        <w:rPr>
          <w:rFonts w:cstheme="minorHAnsi"/>
        </w:rPr>
        <w:t xml:space="preserve">covers tools and tips about how to use this course in a transition-to-practice program. </w:t>
      </w:r>
    </w:p>
    <w:p w:rsidR="00467586" w:rsidRPr="00467586" w:rsidRDefault="00467586" w:rsidP="00467586">
      <w:pPr>
        <w:pStyle w:val="ListParagraph"/>
        <w:numPr>
          <w:ilvl w:val="0"/>
          <w:numId w:val="10"/>
        </w:numPr>
        <w:rPr>
          <w:rFonts w:cstheme="minorHAnsi"/>
          <w:i/>
        </w:rPr>
      </w:pPr>
      <w:r w:rsidRPr="00467586">
        <w:rPr>
          <w:rFonts w:cstheme="minorHAnsi"/>
          <w:i/>
        </w:rPr>
        <w:t xml:space="preserve">Roadmap </w:t>
      </w:r>
      <w:r w:rsidRPr="00467586">
        <w:rPr>
          <w:rFonts w:cstheme="minorHAnsi"/>
        </w:rPr>
        <w:t xml:space="preserve">presents practical strategy about creating an effective orientation program using </w:t>
      </w:r>
      <w:r w:rsidR="0014220D" w:rsidRPr="0014220D">
        <w:rPr>
          <w:rFonts w:eastAsia="Times New Roman" w:cstheme="minorHAnsi"/>
        </w:rPr>
        <w:t>this</w:t>
      </w:r>
      <w:r w:rsidRPr="00467586">
        <w:rPr>
          <w:rFonts w:eastAsia="Times New Roman" w:cstheme="minorHAnsi"/>
        </w:rPr>
        <w:t xml:space="preserve"> course.</w:t>
      </w:r>
    </w:p>
    <w:p w:rsidR="00467586" w:rsidRPr="00467586" w:rsidRDefault="00467586" w:rsidP="00467586">
      <w:pPr>
        <w:pStyle w:val="ListParagraph"/>
        <w:numPr>
          <w:ilvl w:val="0"/>
          <w:numId w:val="10"/>
        </w:numPr>
        <w:rPr>
          <w:rFonts w:cstheme="minorHAnsi"/>
          <w:i/>
        </w:rPr>
      </w:pPr>
      <w:r w:rsidRPr="00467586">
        <w:rPr>
          <w:rFonts w:cstheme="minorHAnsi"/>
          <w:i/>
        </w:rPr>
        <w:t xml:space="preserve">Scenario-based questions </w:t>
      </w:r>
      <w:r w:rsidRPr="00467586">
        <w:rPr>
          <w:rFonts w:cstheme="minorHAnsi"/>
        </w:rPr>
        <w:t>can be used in the classroom to test application of knowledge about clinical concepts.</w:t>
      </w:r>
    </w:p>
    <w:p w:rsidR="00467586" w:rsidRPr="00467586" w:rsidRDefault="00467586" w:rsidP="00467586">
      <w:pPr>
        <w:pStyle w:val="ListParagraph"/>
        <w:numPr>
          <w:ilvl w:val="0"/>
          <w:numId w:val="10"/>
        </w:numPr>
        <w:spacing w:after="0"/>
        <w:rPr>
          <w:rFonts w:eastAsia="Times New Roman" w:cstheme="minorHAnsi"/>
          <w:i/>
        </w:rPr>
      </w:pPr>
      <w:r w:rsidRPr="00467586">
        <w:rPr>
          <w:rFonts w:cstheme="minorHAnsi"/>
          <w:i/>
        </w:rPr>
        <w:t xml:space="preserve">Lesson-specific classroom discussion guides </w:t>
      </w:r>
      <w:r w:rsidRPr="00467586">
        <w:rPr>
          <w:rFonts w:cstheme="minorHAnsi"/>
        </w:rPr>
        <w:t>that provide suggested activities that can be used to engage with new nurses.</w:t>
      </w:r>
    </w:p>
    <w:p w:rsidR="00467586" w:rsidRPr="00467586" w:rsidRDefault="00467586" w:rsidP="00EC027E">
      <w:pPr>
        <w:spacing w:after="0" w:line="240" w:lineRule="auto"/>
        <w:rPr>
          <w:rFonts w:cstheme="minorHAnsi"/>
        </w:rPr>
      </w:pPr>
    </w:p>
    <w:sectPr w:rsidR="00467586" w:rsidRPr="0046758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3E" w:rsidRDefault="0058163E" w:rsidP="0034684D">
      <w:pPr>
        <w:spacing w:after="0" w:line="240" w:lineRule="auto"/>
      </w:pPr>
      <w:r>
        <w:separator/>
      </w:r>
    </w:p>
  </w:endnote>
  <w:endnote w:type="continuationSeparator" w:id="0">
    <w:p w:rsidR="0058163E" w:rsidRDefault="0058163E" w:rsidP="0034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04437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34684D" w:rsidRPr="0034684D" w:rsidRDefault="0034684D">
        <w:pPr>
          <w:pStyle w:val="Footer"/>
          <w:jc w:val="center"/>
          <w:rPr>
            <w:sz w:val="16"/>
            <w:szCs w:val="16"/>
          </w:rPr>
        </w:pPr>
        <w:r w:rsidRPr="0034684D">
          <w:rPr>
            <w:sz w:val="16"/>
            <w:szCs w:val="16"/>
          </w:rPr>
          <w:fldChar w:fldCharType="begin"/>
        </w:r>
        <w:r w:rsidRPr="0034684D">
          <w:rPr>
            <w:sz w:val="16"/>
            <w:szCs w:val="16"/>
          </w:rPr>
          <w:instrText xml:space="preserve"> PAGE   \* MERGEFORMAT </w:instrText>
        </w:r>
        <w:r w:rsidRPr="0034684D">
          <w:rPr>
            <w:sz w:val="16"/>
            <w:szCs w:val="16"/>
          </w:rPr>
          <w:fldChar w:fldCharType="separate"/>
        </w:r>
        <w:r w:rsidR="00BA46A1">
          <w:rPr>
            <w:noProof/>
            <w:sz w:val="16"/>
            <w:szCs w:val="16"/>
          </w:rPr>
          <w:t>1</w:t>
        </w:r>
        <w:r w:rsidRPr="0034684D">
          <w:rPr>
            <w:noProof/>
            <w:sz w:val="16"/>
            <w:szCs w:val="16"/>
          </w:rPr>
          <w:fldChar w:fldCharType="end"/>
        </w:r>
      </w:p>
    </w:sdtContent>
  </w:sdt>
  <w:p w:rsidR="0034684D" w:rsidRDefault="00346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3E" w:rsidRDefault="0058163E" w:rsidP="0034684D">
      <w:pPr>
        <w:spacing w:after="0" w:line="240" w:lineRule="auto"/>
      </w:pPr>
      <w:r>
        <w:separator/>
      </w:r>
    </w:p>
  </w:footnote>
  <w:footnote w:type="continuationSeparator" w:id="0">
    <w:p w:rsidR="0058163E" w:rsidRDefault="0058163E" w:rsidP="0034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31C" w:rsidRPr="0066231C" w:rsidRDefault="0066231C">
    <w:pPr>
      <w:pStyle w:val="Header"/>
      <w:rPr>
        <w:sz w:val="16"/>
      </w:rPr>
    </w:pPr>
    <w:r w:rsidRPr="0066231C">
      <w:rPr>
        <w:sz w:val="16"/>
      </w:rPr>
      <w:t>Confidential: Product Feedback: Title</w:t>
    </w:r>
  </w:p>
  <w:p w:rsidR="0066231C" w:rsidRPr="0066231C" w:rsidRDefault="0066231C">
    <w:pPr>
      <w:pStyle w:val="Header"/>
      <w:rPr>
        <w:sz w:val="16"/>
      </w:rPr>
    </w:pPr>
    <w:r w:rsidRPr="0066231C">
      <w:rPr>
        <w:sz w:val="16"/>
      </w:rPr>
      <w:t>SB 4.22.16</w:t>
    </w:r>
  </w:p>
  <w:p w:rsidR="0034684D" w:rsidRDefault="0058163E">
    <w:pPr>
      <w:pStyle w:val="Header"/>
    </w:pPr>
    <w:sdt>
      <w:sdtPr>
        <w:rPr>
          <w:b/>
          <w:sz w:val="16"/>
          <w:szCs w:val="16"/>
        </w:rPr>
        <w:id w:val="-312873548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16"/>
            <w:szCs w:val="16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FD4"/>
    <w:multiLevelType w:val="hybridMultilevel"/>
    <w:tmpl w:val="FF645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F08B0"/>
    <w:multiLevelType w:val="hybridMultilevel"/>
    <w:tmpl w:val="2130B7B8"/>
    <w:lvl w:ilvl="0" w:tplc="5A1EC1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C4379"/>
    <w:multiLevelType w:val="hybridMultilevel"/>
    <w:tmpl w:val="75A6F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93DF5"/>
    <w:multiLevelType w:val="hybridMultilevel"/>
    <w:tmpl w:val="2B884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03D66"/>
    <w:multiLevelType w:val="hybridMultilevel"/>
    <w:tmpl w:val="69FE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24AB1"/>
    <w:multiLevelType w:val="hybridMultilevel"/>
    <w:tmpl w:val="74CC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50639"/>
    <w:multiLevelType w:val="hybridMultilevel"/>
    <w:tmpl w:val="E3F4B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9C01D5"/>
    <w:multiLevelType w:val="hybridMultilevel"/>
    <w:tmpl w:val="DFCA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4345E"/>
    <w:multiLevelType w:val="hybridMultilevel"/>
    <w:tmpl w:val="EC4A5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2266A"/>
    <w:multiLevelType w:val="hybridMultilevel"/>
    <w:tmpl w:val="F21A6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B06C02">
      <w:start w:val="5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CE"/>
    <w:rsid w:val="00005427"/>
    <w:rsid w:val="00022FBA"/>
    <w:rsid w:val="000233EC"/>
    <w:rsid w:val="0002570D"/>
    <w:rsid w:val="00060276"/>
    <w:rsid w:val="00084A41"/>
    <w:rsid w:val="000A670D"/>
    <w:rsid w:val="000E74A5"/>
    <w:rsid w:val="000F6308"/>
    <w:rsid w:val="00102A47"/>
    <w:rsid w:val="001203CE"/>
    <w:rsid w:val="00124739"/>
    <w:rsid w:val="0012615C"/>
    <w:rsid w:val="0014220D"/>
    <w:rsid w:val="00172EE4"/>
    <w:rsid w:val="00176E3E"/>
    <w:rsid w:val="001932C6"/>
    <w:rsid w:val="001F6DFE"/>
    <w:rsid w:val="00216D80"/>
    <w:rsid w:val="002348A7"/>
    <w:rsid w:val="00245ABC"/>
    <w:rsid w:val="0026333D"/>
    <w:rsid w:val="002A0EE4"/>
    <w:rsid w:val="002A2BB6"/>
    <w:rsid w:val="002B236D"/>
    <w:rsid w:val="002B5502"/>
    <w:rsid w:val="002D2B48"/>
    <w:rsid w:val="00304984"/>
    <w:rsid w:val="0032692F"/>
    <w:rsid w:val="0034684D"/>
    <w:rsid w:val="003C3DB1"/>
    <w:rsid w:val="003C55DB"/>
    <w:rsid w:val="003C78C3"/>
    <w:rsid w:val="003D4EF1"/>
    <w:rsid w:val="004006FE"/>
    <w:rsid w:val="004158B2"/>
    <w:rsid w:val="00444730"/>
    <w:rsid w:val="00467586"/>
    <w:rsid w:val="0048490B"/>
    <w:rsid w:val="004A1AE7"/>
    <w:rsid w:val="004A7B9D"/>
    <w:rsid w:val="004C3C6D"/>
    <w:rsid w:val="004C5353"/>
    <w:rsid w:val="004F2B9D"/>
    <w:rsid w:val="005151A6"/>
    <w:rsid w:val="00547591"/>
    <w:rsid w:val="00550CA3"/>
    <w:rsid w:val="0058163E"/>
    <w:rsid w:val="005C2F13"/>
    <w:rsid w:val="005F1D3C"/>
    <w:rsid w:val="006269EF"/>
    <w:rsid w:val="00650A1B"/>
    <w:rsid w:val="0066231C"/>
    <w:rsid w:val="00663431"/>
    <w:rsid w:val="006951BB"/>
    <w:rsid w:val="006B5D0C"/>
    <w:rsid w:val="006C75FD"/>
    <w:rsid w:val="006D1759"/>
    <w:rsid w:val="007225B4"/>
    <w:rsid w:val="00733DC4"/>
    <w:rsid w:val="00771781"/>
    <w:rsid w:val="00771B63"/>
    <w:rsid w:val="007809CC"/>
    <w:rsid w:val="007B1211"/>
    <w:rsid w:val="007B347C"/>
    <w:rsid w:val="007B395F"/>
    <w:rsid w:val="007B6F26"/>
    <w:rsid w:val="007D6004"/>
    <w:rsid w:val="007D6DDF"/>
    <w:rsid w:val="00805C51"/>
    <w:rsid w:val="00833222"/>
    <w:rsid w:val="00865FD0"/>
    <w:rsid w:val="008E0E5F"/>
    <w:rsid w:val="008F5F09"/>
    <w:rsid w:val="00906B5F"/>
    <w:rsid w:val="00906B76"/>
    <w:rsid w:val="009318B8"/>
    <w:rsid w:val="0094493C"/>
    <w:rsid w:val="009A12F7"/>
    <w:rsid w:val="009A4115"/>
    <w:rsid w:val="009B1B8F"/>
    <w:rsid w:val="009D4B45"/>
    <w:rsid w:val="009F180D"/>
    <w:rsid w:val="00A1233E"/>
    <w:rsid w:val="00A416CE"/>
    <w:rsid w:val="00A41F6E"/>
    <w:rsid w:val="00A55DB1"/>
    <w:rsid w:val="00A57E92"/>
    <w:rsid w:val="00A87DF7"/>
    <w:rsid w:val="00AC354F"/>
    <w:rsid w:val="00AD3AEE"/>
    <w:rsid w:val="00AD3C33"/>
    <w:rsid w:val="00AD4733"/>
    <w:rsid w:val="00AE0EB0"/>
    <w:rsid w:val="00AF25EA"/>
    <w:rsid w:val="00AF3718"/>
    <w:rsid w:val="00AF79C9"/>
    <w:rsid w:val="00B21C1B"/>
    <w:rsid w:val="00B506BB"/>
    <w:rsid w:val="00B50E2B"/>
    <w:rsid w:val="00B6756E"/>
    <w:rsid w:val="00B7688F"/>
    <w:rsid w:val="00B86E51"/>
    <w:rsid w:val="00B86F13"/>
    <w:rsid w:val="00BA0E40"/>
    <w:rsid w:val="00BA46A1"/>
    <w:rsid w:val="00BA50DA"/>
    <w:rsid w:val="00BB2684"/>
    <w:rsid w:val="00C15D09"/>
    <w:rsid w:val="00C1780D"/>
    <w:rsid w:val="00C7490F"/>
    <w:rsid w:val="00C96FD7"/>
    <w:rsid w:val="00CD100E"/>
    <w:rsid w:val="00CE4F66"/>
    <w:rsid w:val="00CE56BC"/>
    <w:rsid w:val="00D210D6"/>
    <w:rsid w:val="00D40A18"/>
    <w:rsid w:val="00D730A0"/>
    <w:rsid w:val="00D768E4"/>
    <w:rsid w:val="00D9769A"/>
    <w:rsid w:val="00DC4809"/>
    <w:rsid w:val="00DF16A5"/>
    <w:rsid w:val="00DF38C4"/>
    <w:rsid w:val="00DF61A5"/>
    <w:rsid w:val="00E63FDF"/>
    <w:rsid w:val="00E6494B"/>
    <w:rsid w:val="00E8593C"/>
    <w:rsid w:val="00EA39F8"/>
    <w:rsid w:val="00EA6D81"/>
    <w:rsid w:val="00EB6784"/>
    <w:rsid w:val="00EC027E"/>
    <w:rsid w:val="00ED2384"/>
    <w:rsid w:val="00EE36B5"/>
    <w:rsid w:val="00EE7EEB"/>
    <w:rsid w:val="00EF7D05"/>
    <w:rsid w:val="00F17855"/>
    <w:rsid w:val="00F22BED"/>
    <w:rsid w:val="00F27669"/>
    <w:rsid w:val="00F40AC9"/>
    <w:rsid w:val="00F53202"/>
    <w:rsid w:val="00F5376F"/>
    <w:rsid w:val="00F61EB3"/>
    <w:rsid w:val="00F96FD1"/>
    <w:rsid w:val="00FA5712"/>
    <w:rsid w:val="00FB41E6"/>
    <w:rsid w:val="00FD37BF"/>
    <w:rsid w:val="00FD5040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84D"/>
  </w:style>
  <w:style w:type="paragraph" w:styleId="Footer">
    <w:name w:val="footer"/>
    <w:basedOn w:val="Normal"/>
    <w:link w:val="FooterChar"/>
    <w:uiPriority w:val="99"/>
    <w:unhideWhenUsed/>
    <w:rsid w:val="00346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84D"/>
  </w:style>
  <w:style w:type="paragraph" w:styleId="BalloonText">
    <w:name w:val="Balloon Text"/>
    <w:basedOn w:val="Normal"/>
    <w:link w:val="BalloonTextChar"/>
    <w:uiPriority w:val="99"/>
    <w:semiHidden/>
    <w:unhideWhenUsed/>
    <w:rsid w:val="0034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8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684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7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F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A1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6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46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84D"/>
  </w:style>
  <w:style w:type="paragraph" w:styleId="Footer">
    <w:name w:val="footer"/>
    <w:basedOn w:val="Normal"/>
    <w:link w:val="FooterChar"/>
    <w:uiPriority w:val="99"/>
    <w:unhideWhenUsed/>
    <w:rsid w:val="00346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84D"/>
  </w:style>
  <w:style w:type="paragraph" w:styleId="BalloonText">
    <w:name w:val="Balloon Text"/>
    <w:basedOn w:val="Normal"/>
    <w:link w:val="BalloonTextChar"/>
    <w:uiPriority w:val="99"/>
    <w:semiHidden/>
    <w:unhideWhenUsed/>
    <w:rsid w:val="0034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8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684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7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F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A1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6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46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3314-89C0-4E3D-9764-845C6CD9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Tryniszewski</dc:creator>
  <cp:lastModifiedBy>Reed Elsevier</cp:lastModifiedBy>
  <cp:revision>4</cp:revision>
  <dcterms:created xsi:type="dcterms:W3CDTF">2016-04-22T15:26:00Z</dcterms:created>
  <dcterms:modified xsi:type="dcterms:W3CDTF">2016-04-22T17:33:00Z</dcterms:modified>
</cp:coreProperties>
</file>